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jc w:val="right"/>
        <w:outlineLvl w:val="1"/>
        <w:rPr>
          <w:rFonts w:ascii="Times New Roman" w:hAnsi="Times New Roman" w:cs="Times New Roman"/>
        </w:rPr>
      </w:pPr>
      <w:r>
        <w:rPr>
          <w:rFonts w:cs="Times New Roman" w:ascii="Times New Roman" w:hAnsi="Times New Roman"/>
        </w:rPr>
        <w:t>Приложение 18</w:t>
      </w:r>
    </w:p>
    <w:p>
      <w:pPr>
        <w:pStyle w:val="ConsPlusNormal"/>
        <w:jc w:val="right"/>
        <w:rPr>
          <w:rFonts w:ascii="Times New Roman" w:hAnsi="Times New Roman" w:cs="Times New Roman"/>
        </w:rPr>
      </w:pPr>
      <w:r>
        <w:rPr>
          <w:rFonts w:cs="Times New Roman" w:ascii="Times New Roman" w:hAnsi="Times New Roman"/>
        </w:rPr>
        <w:t>к государственной программе</w:t>
      </w:r>
    </w:p>
    <w:p>
      <w:pPr>
        <w:pStyle w:val="ConsPlusNormal"/>
        <w:jc w:val="right"/>
        <w:rPr>
          <w:rFonts w:ascii="Times New Roman" w:hAnsi="Times New Roman" w:cs="Times New Roman"/>
        </w:rPr>
      </w:pPr>
      <w:r>
        <w:rPr>
          <w:rFonts w:cs="Times New Roman" w:ascii="Times New Roman" w:hAnsi="Times New Roman"/>
        </w:rPr>
        <w:t>"Развитие образования и науки Брянской области"</w:t>
      </w:r>
    </w:p>
    <w:p>
      <w:pPr>
        <w:pStyle w:val="ConsPlusNormal"/>
        <w:jc w:val="both"/>
        <w:rPr>
          <w:rFonts w:ascii="Times New Roman" w:hAnsi="Times New Roman" w:cs="Times New Roman"/>
        </w:rPr>
      </w:pPr>
      <w:r>
        <w:rPr>
          <w:rFonts w:cs="Times New Roman" w:ascii="Times New Roman" w:hAnsi="Times New Roman"/>
        </w:rPr>
      </w:r>
    </w:p>
    <w:p>
      <w:pPr>
        <w:pStyle w:val="ConsPlusTitle"/>
        <w:jc w:val="center"/>
        <w:rPr>
          <w:rFonts w:ascii="Times New Roman" w:hAnsi="Times New Roman" w:cs="Times New Roman"/>
        </w:rPr>
      </w:pPr>
      <w:r>
        <w:rPr>
          <w:rFonts w:cs="Times New Roman" w:ascii="Times New Roman" w:hAnsi="Times New Roman"/>
        </w:rPr>
        <w:t>Порядок</w:t>
      </w:r>
    </w:p>
    <w:p>
      <w:pPr>
        <w:pStyle w:val="ConsPlusTitle"/>
        <w:jc w:val="center"/>
        <w:rPr>
          <w:rFonts w:ascii="Times New Roman" w:hAnsi="Times New Roman" w:cs="Times New Roman"/>
        </w:rPr>
      </w:pPr>
      <w:r>
        <w:rPr>
          <w:rFonts w:cs="Times New Roman" w:ascii="Times New Roman" w:hAnsi="Times New Roman"/>
        </w:rPr>
        <w:t>предоставления иных межбюджетных трансфертов бюджетам</w:t>
      </w:r>
    </w:p>
    <w:p>
      <w:pPr>
        <w:pStyle w:val="ConsPlusTitle"/>
        <w:jc w:val="center"/>
        <w:rPr>
          <w:rFonts w:ascii="Times New Roman" w:hAnsi="Times New Roman" w:cs="Times New Roman"/>
        </w:rPr>
      </w:pPr>
      <w:r>
        <w:rPr>
          <w:rFonts w:cs="Times New Roman" w:ascii="Times New Roman" w:hAnsi="Times New Roman"/>
        </w:rPr>
        <w:t xml:space="preserve">муниципальных районов (муниципальных округов, городских округов) на </w:t>
      </w:r>
    </w:p>
    <w:p>
      <w:pPr>
        <w:pStyle w:val="ConsPlusTitle"/>
        <w:jc w:val="center"/>
        <w:rPr>
          <w:rFonts w:ascii="Times New Roman" w:hAnsi="Times New Roman" w:cs="Times New Roman"/>
        </w:rPr>
      </w:pPr>
      <w:r>
        <w:rPr>
          <w:rFonts w:cs="Times New Roman" w:ascii="Times New Roman" w:hAnsi="Times New Roman"/>
        </w:rPr>
        <w:t xml:space="preserve">выплату ежемесячного денежного вознаграждения за классное руководство </w:t>
      </w:r>
    </w:p>
    <w:p>
      <w:pPr>
        <w:pStyle w:val="ConsPlusTitle"/>
        <w:jc w:val="center"/>
        <w:rPr>
          <w:rFonts w:ascii="Times New Roman" w:hAnsi="Times New Roman" w:cs="Times New Roman"/>
        </w:rPr>
      </w:pPr>
      <w:r>
        <w:rPr>
          <w:rFonts w:cs="Times New Roman" w:ascii="Times New Roman" w:hAnsi="Times New Roman"/>
        </w:rPr>
        <w:t>педагогическим работникам муниципальных общеобразовательных организаций</w:t>
      </w:r>
    </w:p>
    <w:p>
      <w:pPr>
        <w:pStyle w:val="ConsPlusTitle"/>
        <w:jc w:val="center"/>
        <w:rPr>
          <w:rFonts w:ascii="Times New Roman" w:hAnsi="Times New Roman" w:cs="Times New Roman"/>
        </w:rPr>
      </w:pPr>
      <w:r>
        <w:rPr>
          <w:rFonts w:cs="Times New Roman" w:ascii="Times New Roman" w:hAnsi="Times New Roman"/>
        </w:rPr>
        <w:t>в рамках государственной программы</w:t>
      </w:r>
    </w:p>
    <w:p>
      <w:pPr>
        <w:pStyle w:val="ConsPlusTitle"/>
        <w:jc w:val="center"/>
        <w:rPr>
          <w:rFonts w:ascii="Times New Roman" w:hAnsi="Times New Roman" w:cs="Times New Roman"/>
        </w:rPr>
      </w:pPr>
      <w:r>
        <w:rPr>
          <w:rFonts w:cs="Times New Roman" w:ascii="Times New Roman" w:hAnsi="Times New Roman"/>
        </w:rPr>
        <w:t>"Развитие образования и науки Брянской области"</w:t>
      </w:r>
    </w:p>
    <w:p>
      <w:pPr>
        <w:pStyle w:val="Normal"/>
        <w:spacing w:before="0" w:after="1"/>
        <w:rPr>
          <w:rFonts w:ascii="Times New Roman" w:hAnsi="Times New Roman" w:cs="Times New Roman"/>
        </w:rPr>
      </w:pPr>
      <w:r>
        <w:rPr>
          <w:rFonts w:cs="Times New Roman" w:ascii="Times New Roman" w:hAnsi="Times New Roman"/>
        </w:rPr>
      </w:r>
    </w:p>
    <w:p>
      <w:pPr>
        <w:pStyle w:val="ConsPlusNormal"/>
        <w:jc w:val="both"/>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1. Настоящий Порядок устанавливает цели и условия предоставления иных межбюджетных трансфертов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(далее - общеобразовательные организации), в рамках государственной программы "Развитие образования и науки Брянской области" (далее - иные межбюджетные трансферты).</w:t>
      </w:r>
    </w:p>
    <w:p>
      <w:pPr>
        <w:pStyle w:val="ConsPlusNormal"/>
        <w:spacing w:before="220" w:after="0"/>
        <w:ind w:firstLine="540"/>
        <w:jc w:val="both"/>
        <w:rPr>
          <w:rFonts w:ascii="Times New Roman" w:hAnsi="Times New Roman" w:cs="Times New Roman"/>
        </w:rPr>
      </w:pPr>
      <w:bookmarkStart w:id="0" w:name="P13209"/>
      <w:bookmarkEnd w:id="0"/>
      <w:r>
        <w:rPr>
          <w:rFonts w:cs="Times New Roman" w:ascii="Times New Roman" w:hAnsi="Times New Roman"/>
        </w:rPr>
        <w:t>2. Иные межбюджетные трансферты предоставляются в целях софинансирования в полном объеме расходных обязательств муниципальных районов (муниципальных округов, городских округов), возникающих при осуществлении выплат ежемесячного денежного вознаграждения за классное руководство педагогическим работникам общеобразовательных организаций из расчета 5 тысяч рублей 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в государственные внебюджетные фонды).</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3. Иные межбюджетные трансферты предоставляются в пределах бюджетных ассигнований областного бюджета и лимитов бюджетных обязательств, доведенных до главного распорядителя средств областного бюджета в установленном порядке на цели, указанные в </w:t>
      </w:r>
      <w:hyperlink w:anchor="P13209">
        <w:r>
          <w:rPr>
            <w:rFonts w:cs="Times New Roman" w:ascii="Times New Roman" w:hAnsi="Times New Roman"/>
          </w:rPr>
          <w:t>пункте 2</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4. Главным распорядителем средств областного бюджета является департамент образования и науки Брянской области (далее - департамент).</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5. Распределение иных межбюджетных трансфертов между бюджетами муниципальных районов (муниципальных округов, городских округов) утверждается в соответствии со </w:t>
      </w:r>
      <w:hyperlink r:id="rId2">
        <w:r>
          <w:rPr>
            <w:rFonts w:cs="Times New Roman" w:ascii="Times New Roman" w:hAnsi="Times New Roman"/>
          </w:rPr>
          <w:t>статьей 139.1</w:t>
        </w:r>
      </w:hyperlink>
      <w:r>
        <w:rPr>
          <w:rFonts w:cs="Times New Roman" w:ascii="Times New Roman" w:hAnsi="Times New Roman"/>
        </w:rPr>
        <w:t xml:space="preserve"> Бюджетного кодекса Российской Федерации.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6. Критерием отбора муниципальных районов (муниципальных округов, городских округов) для предоставления иного межбюджетного трансферта является наличие потребности муниципальных районов (муниципальных округов, городских округов) в обеспечении выплат ежемесячного денежного вознаграждения за классное руководство исходя из прогнозируемой численности педагогических работников общеобразовательных организаций на начало учебного года.</w:t>
      </w:r>
    </w:p>
    <w:p>
      <w:pPr>
        <w:pStyle w:val="ConsPlusNormal"/>
        <w:spacing w:before="220" w:after="0"/>
        <w:ind w:firstLine="540"/>
        <w:jc w:val="both"/>
        <w:rPr>
          <w:rFonts w:ascii="Times New Roman" w:hAnsi="Times New Roman" w:cs="Times New Roman"/>
        </w:rPr>
      </w:pPr>
      <w:r>
        <w:rPr>
          <w:rFonts w:cs="Times New Roman" w:ascii="Times New Roman" w:hAnsi="Times New Roman"/>
        </w:rPr>
        <w:t>7. Условием предоставления иных межбюджетных трансфертов является наличие у муниципального района (муниципального округа, городского округа) принятого в установленном порядке нормативного правового акта, устанавливающего расходное обязательство муниципального района (муниципального округа, городского округа), в целях софинансирования которого предоставляются иные межбюджетные трансферты.</w:t>
      </w:r>
    </w:p>
    <w:p>
      <w:pPr>
        <w:pStyle w:val="ConsPlusNormal"/>
        <w:spacing w:before="220" w:after="0"/>
        <w:ind w:firstLine="540"/>
        <w:jc w:val="both"/>
        <w:rPr>
          <w:rFonts w:ascii="Times New Roman" w:hAnsi="Times New Roman" w:cs="Times New Roman"/>
        </w:rPr>
      </w:pPr>
      <w:r>
        <w:rPr>
          <w:rFonts w:cs="Times New Roman" w:ascii="Times New Roman" w:hAnsi="Times New Roman"/>
        </w:rPr>
        <w:t>8. Размер предоставляемого бюджету муниципального района (муниципального округа, городского округа) иного межбюджетного трансферта (T</w:t>
      </w:r>
      <w:r>
        <w:rPr>
          <w:rFonts w:cs="Times New Roman" w:ascii="Times New Roman" w:hAnsi="Times New Roman"/>
          <w:vertAlign w:val="subscript"/>
        </w:rPr>
        <w:t>1i</w:t>
      </w:r>
      <w:r>
        <w:rPr>
          <w:rFonts w:cs="Times New Roman" w:ascii="Times New Roman" w:hAnsi="Times New Roman"/>
        </w:rPr>
        <w:t>) определяется по формуле:</w:t>
      </w:r>
    </w:p>
    <w:p>
      <w:pPr>
        <w:pStyle w:val="ConsPlusNormal"/>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t>T</w:t>
      </w:r>
      <w:r>
        <w:rPr>
          <w:rFonts w:cs="Times New Roman" w:ascii="Times New Roman" w:hAnsi="Times New Roman"/>
          <w:vertAlign w:val="subscript"/>
        </w:rPr>
        <w:t>1i</w:t>
      </w:r>
      <w:r>
        <w:rPr>
          <w:rFonts w:cs="Times New Roman" w:ascii="Times New Roman" w:hAnsi="Times New Roman"/>
        </w:rPr>
        <w:t xml:space="preserve"> = T</w:t>
      </w:r>
      <w:r>
        <w:rPr>
          <w:rFonts w:cs="Times New Roman" w:ascii="Times New Roman" w:hAnsi="Times New Roman"/>
          <w:vertAlign w:val="subscript"/>
        </w:rPr>
        <w:t>кр</w:t>
      </w:r>
      <w:r>
        <w:rPr>
          <w:rFonts w:cs="Times New Roman" w:ascii="Times New Roman" w:hAnsi="Times New Roman"/>
        </w:rPr>
        <w:t xml:space="preserve"> x H</w:t>
      </w:r>
      <w:r>
        <w:rPr>
          <w:rFonts w:cs="Times New Roman" w:ascii="Times New Roman" w:hAnsi="Times New Roman"/>
          <w:vertAlign w:val="subscript"/>
        </w:rPr>
        <w:t>1</w:t>
      </w:r>
      <w:r>
        <w:rPr>
          <w:rFonts w:cs="Times New Roman" w:ascii="Times New Roman" w:hAnsi="Times New Roman"/>
        </w:rPr>
        <w:t xml:space="preserve"> x N</w:t>
      </w:r>
      <w:r>
        <w:rPr>
          <w:rFonts w:cs="Times New Roman" w:ascii="Times New Roman" w:hAnsi="Times New Roman"/>
          <w:vertAlign w:val="subscript"/>
        </w:rPr>
        <w:t>м</w:t>
      </w:r>
      <w:r>
        <w:rPr>
          <w:rFonts w:cs="Times New Roman" w:ascii="Times New Roman" w:hAnsi="Times New Roman"/>
        </w:rPr>
        <w:t xml:space="preserve"> x (1 + S</w:t>
      </w:r>
      <w:r>
        <w:rPr>
          <w:rFonts w:cs="Times New Roman" w:ascii="Times New Roman" w:hAnsi="Times New Roman"/>
          <w:vertAlign w:val="subscript"/>
        </w:rPr>
        <w:t>взн</w:t>
      </w:r>
      <w:r>
        <w:rPr>
          <w:rFonts w:cs="Times New Roman" w:ascii="Times New Roman" w:hAnsi="Times New Roman"/>
        </w:rPr>
        <w:t xml:space="preserve"> / 100%), где:</w:t>
      </w:r>
    </w:p>
    <w:p>
      <w:pPr>
        <w:pStyle w:val="ConsPlusNormal"/>
        <w:jc w:val="both"/>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T</w:t>
      </w:r>
      <w:r>
        <w:rPr>
          <w:rFonts w:cs="Times New Roman" w:ascii="Times New Roman" w:hAnsi="Times New Roman"/>
          <w:vertAlign w:val="subscript"/>
        </w:rPr>
        <w:t>кр</w:t>
      </w:r>
      <w:r>
        <w:rPr>
          <w:rFonts w:cs="Times New Roman" w:ascii="Times New Roman" w:hAnsi="Times New Roman"/>
        </w:rPr>
        <w:t xml:space="preserve"> - 5000 рублей - размер выплаты ежемесячного денежного вознаграждения за классное руководство педагогическим работникам общеобразовательных организаций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p>
    <w:p>
      <w:pPr>
        <w:pStyle w:val="ConsPlusNormal"/>
        <w:spacing w:before="220" w:after="0"/>
        <w:ind w:firstLine="540"/>
        <w:jc w:val="both"/>
        <w:rPr>
          <w:rFonts w:ascii="Times New Roman" w:hAnsi="Times New Roman" w:cs="Times New Roman"/>
        </w:rPr>
      </w:pPr>
      <w:r>
        <w:rPr>
          <w:rFonts w:cs="Times New Roman" w:ascii="Times New Roman" w:hAnsi="Times New Roman"/>
        </w:rPr>
        <w:t>H</w:t>
      </w:r>
      <w:r>
        <w:rPr>
          <w:rFonts w:cs="Times New Roman" w:ascii="Times New Roman" w:hAnsi="Times New Roman"/>
          <w:vertAlign w:val="subscript"/>
        </w:rPr>
        <w:t>1</w:t>
      </w:r>
      <w:r>
        <w:rPr>
          <w:rFonts w:cs="Times New Roman" w:ascii="Times New Roman" w:hAnsi="Times New Roman"/>
        </w:rPr>
        <w:t xml:space="preserve"> - заявленная муниципальным районом (муниципальным округом, городским округом) прогнозируемая численность педагогических работников общеобразовательных организаций, получающих вознаграждение за классное руководство;</w:t>
      </w:r>
    </w:p>
    <w:p>
      <w:pPr>
        <w:pStyle w:val="ConsPlusNormal"/>
        <w:spacing w:before="220" w:after="0"/>
        <w:ind w:firstLine="540"/>
        <w:jc w:val="both"/>
        <w:rPr>
          <w:rFonts w:ascii="Times New Roman" w:hAnsi="Times New Roman" w:cs="Times New Roman"/>
        </w:rPr>
      </w:pPr>
      <w:r>
        <w:rPr>
          <w:rFonts w:cs="Times New Roman" w:ascii="Times New Roman" w:hAnsi="Times New Roman"/>
        </w:rPr>
        <w:t>N</w:t>
      </w:r>
      <w:r>
        <w:rPr>
          <w:rFonts w:cs="Times New Roman" w:ascii="Times New Roman" w:hAnsi="Times New Roman"/>
          <w:vertAlign w:val="subscript"/>
        </w:rPr>
        <w:t>м</w:t>
      </w:r>
      <w:r>
        <w:rPr>
          <w:rFonts w:cs="Times New Roman" w:ascii="Times New Roman" w:hAnsi="Times New Roman"/>
        </w:rPr>
        <w:t xml:space="preserve"> - количество месяцев в году, в которые выплачивается ежемесячное денежное вознаграждение педагогическим работникам общеобразовательных организаций за классное руководство;</w:t>
      </w:r>
    </w:p>
    <w:p>
      <w:pPr>
        <w:pStyle w:val="ConsPlusNormal"/>
        <w:spacing w:before="220" w:after="0"/>
        <w:ind w:firstLine="540"/>
        <w:jc w:val="both"/>
        <w:rPr>
          <w:rFonts w:ascii="Times New Roman" w:hAnsi="Times New Roman" w:cs="Times New Roman"/>
        </w:rPr>
      </w:pPr>
      <w:r>
        <w:rPr>
          <w:rFonts w:cs="Times New Roman" w:ascii="Times New Roman" w:hAnsi="Times New Roman"/>
        </w:rPr>
        <w:t>S</w:t>
      </w:r>
      <w:r>
        <w:rPr>
          <w:rFonts w:cs="Times New Roman" w:ascii="Times New Roman" w:hAnsi="Times New Roman"/>
          <w:vertAlign w:val="subscript"/>
        </w:rPr>
        <w:t>взн</w:t>
      </w:r>
      <w:r>
        <w:rPr>
          <w:rFonts w:cs="Times New Roman" w:ascii="Times New Roman" w:hAnsi="Times New Roman"/>
        </w:rPr>
        <w:t xml:space="preserve"> - страховые взносы в государственные внебюджетные фонды.</w:t>
      </w:r>
    </w:p>
    <w:p>
      <w:pPr>
        <w:pStyle w:val="ConsPlusNormal"/>
        <w:spacing w:before="220" w:after="0"/>
        <w:ind w:firstLine="540"/>
        <w:jc w:val="both"/>
        <w:rPr>
          <w:rFonts w:ascii="Times New Roman" w:hAnsi="Times New Roman" w:cs="Times New Roman"/>
        </w:rPr>
      </w:pPr>
      <w:r>
        <w:rPr>
          <w:rFonts w:cs="Times New Roman" w:ascii="Times New Roman" w:hAnsi="Times New Roman"/>
        </w:rPr>
        <w:t>9. Предоставление иных межбюджетных трансфертов осуществляется на основании соглашения, заключенного с использованием государственной интегрированной информационной системы управления общественными финансами "Электронный бюджет".</w:t>
      </w:r>
    </w:p>
    <w:p>
      <w:pPr>
        <w:pStyle w:val="ConsPlusNormal"/>
        <w:spacing w:before="220" w:after="0"/>
        <w:ind w:firstLine="540"/>
        <w:jc w:val="both"/>
        <w:rPr>
          <w:rFonts w:ascii="Times New Roman" w:hAnsi="Times New Roman" w:cs="Times New Roman"/>
        </w:rPr>
      </w:pPr>
      <w:r>
        <w:rPr>
          <w:rFonts w:cs="Times New Roman" w:ascii="Times New Roman" w:hAnsi="Times New Roman"/>
        </w:rPr>
        <w:t>Соглашение и дополнительные соглашения к соглашению, предусматривающие внесение в него изменений и его расторжение, заключаются по типовой форме, предусмотренной в государственной интегрированной информационной системе общественными финансами "Электронный бюджет".</w:t>
      </w:r>
    </w:p>
    <w:p>
      <w:pPr>
        <w:pStyle w:val="ConsPlusNormal"/>
        <w:spacing w:before="220" w:after="0"/>
        <w:ind w:firstLine="540"/>
        <w:jc w:val="both"/>
        <w:rPr>
          <w:rFonts w:ascii="Times New Roman" w:hAnsi="Times New Roman" w:cs="Times New Roman"/>
        </w:rPr>
      </w:pPr>
      <w:r>
        <w:rPr>
          <w:rFonts w:cs="Times New Roman" w:ascii="Times New Roman" w:hAnsi="Times New Roman"/>
        </w:rPr>
        <w:t>10. Перечисление иных межбюджетных трансфертов осуществляется в установленном порядке на счета,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(муниципальных округов, городских округов).</w:t>
      </w:r>
      <w:bookmarkStart w:id="1" w:name="_GoBack"/>
      <w:bookmarkEnd w:id="1"/>
    </w:p>
    <w:p>
      <w:pPr>
        <w:pStyle w:val="ConsPlusNormal"/>
        <w:spacing w:before="220" w:after="0"/>
        <w:ind w:firstLine="540"/>
        <w:jc w:val="both"/>
        <w:rPr>
          <w:rFonts w:ascii="Times New Roman" w:hAnsi="Times New Roman" w:cs="Times New Roman"/>
        </w:rPr>
      </w:pPr>
      <w:r>
        <w:rPr>
          <w:rFonts w:cs="Times New Roman" w:ascii="Times New Roman" w:hAnsi="Times New Roman"/>
        </w:rPr>
        <w:t>11. Оценка эффективности использования муниципальным районом (муниципальным округом, городским округом) иных межбюджетных трансфертов осуществляется исходя из сравнения плановых и фактических значений результатов предоставления иных межбюджетных трансфертов, которые устанавливаются соглашением,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12. Орган местного самоуправления муниципального района (муниципального округа, городского округа) размещает в сроки и порядке,  установленные соглашением, в государственной интегрированной информационной системе управления общественными финансами "Электронный бюджет":</w:t>
      </w:r>
    </w:p>
    <w:p>
      <w:pPr>
        <w:pStyle w:val="ConsPlusNormal"/>
        <w:spacing w:before="220" w:after="0"/>
        <w:ind w:firstLine="540"/>
        <w:jc w:val="both"/>
        <w:rPr>
          <w:rFonts w:ascii="Times New Roman" w:hAnsi="Times New Roman" w:cs="Times New Roman"/>
        </w:rPr>
      </w:pPr>
      <w:r>
        <w:rPr>
          <w:rFonts w:cs="Times New Roman" w:ascii="Times New Roman" w:hAnsi="Times New Roman"/>
        </w:rPr>
        <w:t>отчет о расходах бюджета муниципального района (муниципального округа, городского округа), в целях софинансирования которых предоставляются иные межбюджетные трансферты;</w:t>
      </w:r>
    </w:p>
    <w:p>
      <w:pPr>
        <w:pStyle w:val="ConsPlusNormal"/>
        <w:spacing w:before="220" w:after="0"/>
        <w:ind w:firstLine="540"/>
        <w:jc w:val="both"/>
        <w:rPr>
          <w:rFonts w:ascii="Times New Roman" w:hAnsi="Times New Roman" w:cs="Times New Roman"/>
        </w:rPr>
      </w:pPr>
      <w:r>
        <w:rPr>
          <w:rFonts w:cs="Times New Roman" w:ascii="Times New Roman" w:hAnsi="Times New Roman"/>
        </w:rPr>
        <w:t>отчет о достижении значения результата предоставления иных межбюджетных трансфертов.</w:t>
      </w:r>
    </w:p>
    <w:p>
      <w:pPr>
        <w:pStyle w:val="ConsPlusNormal"/>
        <w:spacing w:before="220" w:after="0"/>
        <w:ind w:firstLine="540"/>
        <w:jc w:val="both"/>
        <w:rPr>
          <w:rFonts w:ascii="Times New Roman" w:hAnsi="Times New Roman" w:cs="Times New Roman"/>
        </w:rPr>
      </w:pPr>
      <w:r>
        <w:rPr>
          <w:rFonts w:cs="Times New Roman" w:ascii="Times New Roman" w:hAnsi="Times New Roman"/>
        </w:rPr>
        <w:t>13. В случае если муниципальным районом (муниципальным округом, городским округом) по состоянию на 31 декабря текущего финансового года допущено недостижение значения результата предоставления иных межбюджетных трансфертов, установленного соглашением, размер средств, подлежащих возврату из бюджета муниципального района (муниципального округа, городского округа) в областной бюджет до 1 марта года, следующего за годом предоставления иных межбюджетных трансфертов (T</w:t>
      </w:r>
      <w:r>
        <w:rPr>
          <w:rFonts w:cs="Times New Roman" w:ascii="Times New Roman" w:hAnsi="Times New Roman"/>
          <w:vertAlign w:val="subscript"/>
        </w:rPr>
        <w:t>2i</w:t>
      </w:r>
      <w:r>
        <w:rPr>
          <w:rFonts w:cs="Times New Roman" w:ascii="Times New Roman" w:hAnsi="Times New Roman"/>
        </w:rPr>
        <w:t>), определяется по формуле:</w:t>
      </w:r>
    </w:p>
    <w:p>
      <w:pPr>
        <w:pStyle w:val="ConsPlusNormal"/>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lang w:val="en-US"/>
        </w:rPr>
      </w:pPr>
      <w:r>
        <w:rPr>
          <w:rFonts w:cs="Times New Roman" w:ascii="Times New Roman" w:hAnsi="Times New Roman"/>
          <w:lang w:val="en-US"/>
        </w:rPr>
        <w:t>T</w:t>
      </w:r>
      <w:r>
        <w:rPr>
          <w:rFonts w:cs="Times New Roman" w:ascii="Times New Roman" w:hAnsi="Times New Roman"/>
          <w:vertAlign w:val="subscript"/>
          <w:lang w:val="en-US"/>
        </w:rPr>
        <w:t>2i</w:t>
      </w:r>
      <w:r>
        <w:rPr>
          <w:rFonts w:cs="Times New Roman" w:ascii="Times New Roman" w:hAnsi="Times New Roman"/>
          <w:lang w:val="en-US"/>
        </w:rPr>
        <w:t xml:space="preserve"> = T</w:t>
      </w:r>
      <w:r>
        <w:rPr>
          <w:rFonts w:cs="Times New Roman" w:ascii="Times New Roman" w:hAnsi="Times New Roman"/>
          <w:vertAlign w:val="subscript"/>
          <w:lang w:val="en-US"/>
        </w:rPr>
        <w:t>1i</w:t>
      </w:r>
      <w:r>
        <w:rPr>
          <w:rFonts w:cs="Times New Roman" w:ascii="Times New Roman" w:hAnsi="Times New Roman"/>
          <w:lang w:val="en-US"/>
        </w:rPr>
        <w:t xml:space="preserve"> - T</w:t>
      </w:r>
      <w:r>
        <w:rPr>
          <w:rFonts w:cs="Times New Roman" w:ascii="Times New Roman" w:hAnsi="Times New Roman"/>
          <w:vertAlign w:val="subscript"/>
        </w:rPr>
        <w:t>кр</w:t>
      </w:r>
      <w:r>
        <w:rPr>
          <w:rFonts w:cs="Times New Roman" w:ascii="Times New Roman" w:hAnsi="Times New Roman"/>
          <w:lang w:val="en-US"/>
        </w:rPr>
        <w:t xml:space="preserve"> x H</w:t>
      </w:r>
      <w:r>
        <w:rPr>
          <w:rFonts w:cs="Times New Roman" w:ascii="Times New Roman" w:hAnsi="Times New Roman"/>
          <w:vertAlign w:val="subscript"/>
          <w:lang w:val="en-US"/>
        </w:rPr>
        <w:t>2</w:t>
      </w:r>
      <w:r>
        <w:rPr>
          <w:rFonts w:cs="Times New Roman" w:ascii="Times New Roman" w:hAnsi="Times New Roman"/>
          <w:lang w:val="en-US"/>
        </w:rPr>
        <w:t xml:space="preserve"> x N</w:t>
      </w:r>
      <w:r>
        <w:rPr>
          <w:rFonts w:cs="Times New Roman" w:ascii="Times New Roman" w:hAnsi="Times New Roman"/>
          <w:vertAlign w:val="subscript"/>
        </w:rPr>
        <w:t>м</w:t>
      </w:r>
      <w:r>
        <w:rPr>
          <w:rFonts w:cs="Times New Roman" w:ascii="Times New Roman" w:hAnsi="Times New Roman"/>
          <w:lang w:val="en-US"/>
        </w:rPr>
        <w:t xml:space="preserve"> x (1 + S</w:t>
      </w:r>
      <w:r>
        <w:rPr>
          <w:rFonts w:cs="Times New Roman" w:ascii="Times New Roman" w:hAnsi="Times New Roman"/>
          <w:vertAlign w:val="subscript"/>
        </w:rPr>
        <w:t>взн</w:t>
      </w:r>
      <w:r>
        <w:rPr>
          <w:rFonts w:cs="Times New Roman" w:ascii="Times New Roman" w:hAnsi="Times New Roman"/>
          <w:lang w:val="en-US"/>
        </w:rPr>
        <w:t xml:space="preserve"> / 100%), </w:t>
      </w:r>
      <w:r>
        <w:rPr>
          <w:rFonts w:cs="Times New Roman" w:ascii="Times New Roman" w:hAnsi="Times New Roman"/>
        </w:rPr>
        <w:t>где</w:t>
      </w:r>
      <w:r>
        <w:rPr>
          <w:rFonts w:cs="Times New Roman" w:ascii="Times New Roman" w:hAnsi="Times New Roman"/>
          <w:lang w:val="en-US"/>
        </w:rPr>
        <w:t>:</w:t>
      </w:r>
    </w:p>
    <w:p>
      <w:pPr>
        <w:pStyle w:val="ConsPlusNormal"/>
        <w:jc w:val="both"/>
        <w:rPr>
          <w:rFonts w:ascii="Times New Roman" w:hAnsi="Times New Roman" w:cs="Times New Roman"/>
          <w:lang w:val="en-US"/>
        </w:rPr>
      </w:pPr>
      <w:r>
        <w:rPr>
          <w:rFonts w:cs="Times New Roman" w:ascii="Times New Roman" w:hAnsi="Times New Roman"/>
          <w:lang w:val="en-US"/>
        </w:rPr>
      </w:r>
    </w:p>
    <w:p>
      <w:pPr>
        <w:pStyle w:val="ConsPlusNormal"/>
        <w:ind w:firstLine="540"/>
        <w:jc w:val="both"/>
        <w:rPr>
          <w:rFonts w:ascii="Times New Roman" w:hAnsi="Times New Roman" w:cs="Times New Roman"/>
        </w:rPr>
      </w:pPr>
      <w:r>
        <w:rPr>
          <w:rFonts w:cs="Times New Roman" w:ascii="Times New Roman" w:hAnsi="Times New Roman"/>
        </w:rPr>
        <w:t>H</w:t>
      </w:r>
      <w:r>
        <w:rPr>
          <w:rFonts w:cs="Times New Roman" w:ascii="Times New Roman" w:hAnsi="Times New Roman"/>
          <w:vertAlign w:val="subscript"/>
        </w:rPr>
        <w:t>2</w:t>
      </w:r>
      <w:r>
        <w:rPr>
          <w:rFonts w:cs="Times New Roman" w:ascii="Times New Roman" w:hAnsi="Times New Roman"/>
        </w:rPr>
        <w:t xml:space="preserve"> - фактическая численность педагогических работников общеобразовательных организаций муниципального района (муниципального округа, городского округа), получающих вознаграждение за классное руководство.</w:t>
      </w:r>
    </w:p>
    <w:p>
      <w:pPr>
        <w:pStyle w:val="ConsPlusNormal"/>
        <w:spacing w:before="220" w:after="0"/>
        <w:ind w:firstLine="540"/>
        <w:jc w:val="both"/>
        <w:rPr>
          <w:rFonts w:ascii="Times New Roman" w:hAnsi="Times New Roman" w:cs="Times New Roman"/>
        </w:rPr>
      </w:pPr>
      <w:r>
        <w:rPr>
          <w:rFonts w:cs="Times New Roman" w:ascii="Times New Roman" w:hAnsi="Times New Roman"/>
        </w:rPr>
        <w:t>14. Не позднее 15 января года, следующего за отчетным годом, в департамент представляется отчетность о расходах бюджетов муниципальных районов (муниципальных округов, городских округов) и достижении значения результата предоставления иного межбюджетного трансферта, установленного соглашением.</w:t>
      </w:r>
    </w:p>
    <w:p>
      <w:pPr>
        <w:pStyle w:val="ConsPlusNormal"/>
        <w:spacing w:before="220" w:after="0"/>
        <w:ind w:firstLine="540"/>
        <w:jc w:val="both"/>
        <w:rPr>
          <w:rFonts w:ascii="Times New Roman" w:hAnsi="Times New Roman" w:cs="Times New Roman"/>
        </w:rPr>
      </w:pPr>
      <w:r>
        <w:rPr>
          <w:rFonts w:cs="Times New Roman" w:ascii="Times New Roman" w:hAnsi="Times New Roman"/>
        </w:rPr>
        <w:t>15. В случае нецелевого использования иного межбюджетного трансферта муниципальным районом (муниципальным округом, городским округом)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16. Ответственность за достоверность представляемых в департамент информации и документов, предусмотренных настоящим Порядком, возлагается на органы местного самоуправления муниципальных районов (муниципальных округов, городских округов).</w:t>
      </w:r>
    </w:p>
    <w:p>
      <w:pPr>
        <w:pStyle w:val="ConsPlusNormal"/>
        <w:spacing w:before="220" w:after="0"/>
        <w:ind w:firstLine="540"/>
        <w:jc w:val="both"/>
        <w:rPr>
          <w:rFonts w:ascii="Times New Roman" w:hAnsi="Times New Roman" w:cs="Times New Roman"/>
        </w:rPr>
      </w:pPr>
      <w:r>
        <w:rPr>
          <w:rFonts w:cs="Times New Roman" w:ascii="Times New Roman" w:hAnsi="Times New Roman"/>
        </w:rPr>
        <w:t>17. Контроль за соблюдением муниципальным районом (муниципальным округом, городским округом) целей, условий и порядка предоставления иных межбюджетных трансфертов осуществляется департаментом.</w:t>
      </w:r>
    </w:p>
    <w:sectPr>
      <w:type w:val="nextPage"/>
      <w:pgSz w:w="11906" w:h="16838"/>
      <w:pgMar w:left="1701" w:right="851" w:header="0" w:top="851" w:footer="0" w:bottom="851"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Courier New">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 w:customStyle="1">
    <w:name w:val="ConsPlusNormal"/>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2309da"/>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Cell" w:customStyle="1">
    <w:name w:val="ConsPlusCell"/>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DocList" w:customStyle="1">
    <w:name w:val="ConsPlusDocList"/>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2309da"/>
    <w:pPr>
      <w:widowControl w:val="false"/>
      <w:bidi w:val="0"/>
      <w:spacing w:lineRule="auto" w:line="240" w:before="0" w:after="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2309da"/>
    <w:pPr>
      <w:widowControl w:val="false"/>
      <w:bidi w:val="0"/>
      <w:spacing w:lineRule="auto" w:line="240" w:before="0" w:after="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2309da"/>
    <w:pPr>
      <w:widowControl w:val="false"/>
      <w:bidi w:val="0"/>
      <w:spacing w:lineRule="auto" w:line="240" w:before="0" w:after="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6459022ABE20A108D85BEF4D00E4D4E074098C64DB52EBA52336ED93C7354A011320FDB39486396BCDD83A553A4EDB28F74697770C8s3q3F"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LibreOffice/7.0.1.2$Windows_X86_64 LibreOffice_project/7cbcfc562f6eb6708b5ff7d7397325de9e764452</Application>
  <Pages>2</Pages>
  <Words>885</Words>
  <Characters>7262</Characters>
  <CharactersWithSpaces>8113</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2021-07-05T12:12:00Z</dcterms:created>
  <dc:creator>User</dc:creator>
  <dc:description/>
  <dc:language>ru-RU</dc:language>
  <cp:lastModifiedBy>User</cp:lastModifiedBy>
  <dcterms:modified xsi:type="dcterms:W3CDTF">2021-10-12T13:02:00Z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